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24" w:rsidRPr="00D013B6" w:rsidRDefault="005E1224" w:rsidP="005E1224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</w:pPr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По современным представлениям Центральная Азия (ЦА) представляет собой сложный коллаж разновозрастных тектонических блоков коллизионной и аккреционной природы, разделенных многочисленными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сутурами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шовными зонами. В ее состав входят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рифеиды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Енисейского кряжа и Восточного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Саяна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,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салаириды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каледониды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Алтая, Западного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Саяна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, Казахстана, Монголии, Среднего и Южного Урала,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варисциды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Тянь-Шаня,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Джунгарии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, Южной Монголии (рисунок Г.1). В состав ЦА также включают целый ряд </w:t>
      </w:r>
      <w:proofErr w:type="gram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крупных</w:t>
      </w:r>
      <w:proofErr w:type="gram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мелких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микроконтинентов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с архей – протерозойским основанием (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Кокшетауский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, 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Улытау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-Северо-Тянь-Шаньский, Южно-</w:t>
      </w:r>
      <w:proofErr w:type="spellStart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>Гобийский</w:t>
      </w:r>
      <w:proofErr w:type="spellEnd"/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др.) [1].</w:t>
      </w:r>
    </w:p>
    <w:p w:rsidR="005E1224" w:rsidRPr="00D013B6" w:rsidRDefault="005E1224" w:rsidP="005E122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/>
          <w:b/>
          <w:bCs/>
          <w:sz w:val="28"/>
          <w:szCs w:val="28"/>
          <w:lang w:eastAsia="en-US"/>
        </w:rPr>
      </w:pPr>
      <w:r w:rsidRPr="00D013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История формирования и геодинамическая эволюция ЦА рассмотрены в многочисленных работах [7-10</w:t>
      </w:r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]. </w:t>
      </w:r>
      <w:proofErr w:type="gram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Согласно этим работам г</w:t>
      </w:r>
      <w:r w:rsidRPr="00D013B6">
        <w:rPr>
          <w:rFonts w:ascii="Times New Roman" w:hAnsi="Times New Roman"/>
          <w:sz w:val="28"/>
          <w:szCs w:val="28"/>
        </w:rPr>
        <w:t xml:space="preserve">еодинамическая эволюция ЦА в настоящее время интерпретируется как постепенное сближение Казахстанской и Сибирской плит при их проворачивании относительно друг друга по часовой стрелке и одновременном сокращении Чарского </w:t>
      </w:r>
      <w:proofErr w:type="spellStart"/>
      <w:r w:rsidRPr="00D013B6">
        <w:rPr>
          <w:rFonts w:ascii="Times New Roman" w:hAnsi="Times New Roman"/>
          <w:sz w:val="28"/>
          <w:szCs w:val="28"/>
        </w:rPr>
        <w:t>палеоокеанического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бассейна [14-15].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Алтайская и Казахстанская окраины в </w:t>
      </w:r>
      <w:proofErr w:type="spellStart"/>
      <w:r w:rsidRPr="00D013B6">
        <w:rPr>
          <w:rFonts w:ascii="Times New Roman" w:hAnsi="Times New Roman"/>
          <w:sz w:val="28"/>
          <w:szCs w:val="28"/>
        </w:rPr>
        <w:t>предколлизионную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стадию (</w:t>
      </w:r>
      <w:proofErr w:type="gramStart"/>
      <w:r w:rsidRPr="00D013B6">
        <w:rPr>
          <w:rFonts w:ascii="Times New Roman" w:hAnsi="Times New Roman"/>
          <w:sz w:val="28"/>
          <w:szCs w:val="28"/>
        </w:rPr>
        <w:t>девон-ранний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карбон) отвечали окраинно - </w:t>
      </w:r>
      <w:proofErr w:type="spellStart"/>
      <w:r w:rsidRPr="00D013B6">
        <w:rPr>
          <w:rFonts w:ascii="Times New Roman" w:hAnsi="Times New Roman"/>
          <w:sz w:val="28"/>
          <w:szCs w:val="28"/>
        </w:rPr>
        <w:t>морско-островодужным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геодинамическим обстановкам. Вдоль края Сибирского континента скользил </w:t>
      </w:r>
      <w:proofErr w:type="gramStart"/>
      <w:r w:rsidRPr="00D013B6">
        <w:rPr>
          <w:rFonts w:ascii="Times New Roman" w:hAnsi="Times New Roman"/>
          <w:sz w:val="28"/>
          <w:szCs w:val="28"/>
        </w:rPr>
        <w:t>Алтае-Монгольский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013B6">
        <w:rPr>
          <w:rFonts w:ascii="Times New Roman" w:hAnsi="Times New Roman"/>
          <w:sz w:val="28"/>
          <w:szCs w:val="28"/>
        </w:rPr>
        <w:t>микроконтинент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с </w:t>
      </w:r>
      <w:proofErr w:type="spellStart"/>
      <w:r w:rsidRPr="00D013B6">
        <w:rPr>
          <w:rFonts w:ascii="Times New Roman" w:hAnsi="Times New Roman"/>
          <w:sz w:val="28"/>
          <w:szCs w:val="28"/>
        </w:rPr>
        <w:t>неопротерозойской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корой (</w:t>
      </w:r>
      <w:proofErr w:type="spellStart"/>
      <w:r w:rsidRPr="00D013B6">
        <w:rPr>
          <w:rFonts w:ascii="Times New Roman" w:hAnsi="Times New Roman"/>
          <w:sz w:val="28"/>
          <w:szCs w:val="28"/>
          <w:lang w:val="en-US"/>
        </w:rPr>
        <w:t>T</w:t>
      </w:r>
      <w:r w:rsidRPr="00D013B6">
        <w:rPr>
          <w:rFonts w:ascii="Times New Roman" w:hAnsi="Times New Roman"/>
          <w:sz w:val="28"/>
          <w:szCs w:val="28"/>
          <w:vertAlign w:val="subscript"/>
          <w:lang w:val="en-US"/>
        </w:rPr>
        <w:t>Nd</w:t>
      </w:r>
      <w:proofErr w:type="spellEnd"/>
      <w:r w:rsidRPr="00D013B6">
        <w:rPr>
          <w:rFonts w:ascii="Times New Roman" w:hAnsi="Times New Roman"/>
          <w:sz w:val="28"/>
          <w:szCs w:val="28"/>
        </w:rPr>
        <w:t>(2-</w:t>
      </w:r>
      <w:proofErr w:type="spellStart"/>
      <w:r w:rsidRPr="00D013B6">
        <w:rPr>
          <w:rFonts w:ascii="Times New Roman" w:hAnsi="Times New Roman"/>
          <w:sz w:val="28"/>
          <w:szCs w:val="28"/>
          <w:lang w:val="en-US"/>
        </w:rPr>
        <w:t>st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) = 1,5–1,0 млрд. лет). Чарский </w:t>
      </w:r>
      <w:proofErr w:type="spellStart"/>
      <w:r w:rsidRPr="00D013B6">
        <w:rPr>
          <w:rFonts w:ascii="Times New Roman" w:hAnsi="Times New Roman"/>
          <w:sz w:val="28"/>
          <w:szCs w:val="28"/>
        </w:rPr>
        <w:t>палеоокеанический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бассейн в этот период взаимодействовал с </w:t>
      </w:r>
      <w:proofErr w:type="gramStart"/>
      <w:r w:rsidRPr="00D013B6">
        <w:rPr>
          <w:rFonts w:ascii="Times New Roman" w:hAnsi="Times New Roman"/>
          <w:sz w:val="28"/>
          <w:szCs w:val="28"/>
        </w:rPr>
        <w:t>Казахским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и Сибирским континентами в виде двух косых </w:t>
      </w:r>
      <w:proofErr w:type="spellStart"/>
      <w:r w:rsidRPr="00D013B6">
        <w:rPr>
          <w:rFonts w:ascii="Times New Roman" w:hAnsi="Times New Roman"/>
          <w:sz w:val="28"/>
          <w:szCs w:val="28"/>
        </w:rPr>
        <w:t>субдукционных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зон (Жарма-</w:t>
      </w:r>
      <w:proofErr w:type="spellStart"/>
      <w:r w:rsidRPr="00D013B6">
        <w:rPr>
          <w:rFonts w:ascii="Times New Roman" w:hAnsi="Times New Roman"/>
          <w:sz w:val="28"/>
          <w:szCs w:val="28"/>
        </w:rPr>
        <w:t>Саурская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и Рудно-Алтайская островные дуги). К середине карбона океанический бассейн полностью закрылся, его дальнейшая эволюция протекала на фоне генеральных </w:t>
      </w:r>
      <w:proofErr w:type="spellStart"/>
      <w:r w:rsidRPr="00D013B6">
        <w:rPr>
          <w:rFonts w:ascii="Times New Roman" w:hAnsi="Times New Roman"/>
          <w:sz w:val="28"/>
          <w:szCs w:val="28"/>
        </w:rPr>
        <w:t>левосдвиговых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деформаций [16-17].</w:t>
      </w:r>
    </w:p>
    <w:p w:rsidR="005E1224" w:rsidRPr="00D013B6" w:rsidRDefault="005E1224" w:rsidP="005E122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/>
          <w:sz w:val="28"/>
          <w:szCs w:val="28"/>
          <w:lang w:eastAsia="en-US"/>
        </w:rPr>
      </w:pPr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Исследованиями последних лет установлено, что позднепалеозойские сдвиговые деформации являются преобладающими в структуре Центральной Азии. </w:t>
      </w:r>
      <w:proofErr w:type="gram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Они завершают формирование орогенического коллажа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террейнов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, образованного в позднем девоне-раннем карбоне при столкновении Казахстанского (Казахстанско-Байкальского) составного континента с Сибирским, и далее, в позднем карбоне-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перми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сближении и столкновении Восточно-Европейского, Казахстанско-Байкальского и Сибирского континентов [7, 8, 9, 15, 24].</w:t>
      </w:r>
      <w:proofErr w:type="gramEnd"/>
    </w:p>
    <w:p w:rsidR="005E1224" w:rsidRPr="00D013B6" w:rsidRDefault="005E1224" w:rsidP="005E122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/>
          <w:sz w:val="28"/>
          <w:szCs w:val="28"/>
          <w:lang w:eastAsia="en-US"/>
        </w:rPr>
      </w:pPr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В результате ряда коллизий </w:t>
      </w:r>
      <w:proofErr w:type="gram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венд-среднепалеозойские</w:t>
      </w:r>
      <w:proofErr w:type="gram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окраинно-континентальные комплексы Сибирского и Восточно-Европейского континентов и весь Казахстанско-Байкальский составной континент были разделены крупно-амплитудными сдвигами и сопряженными надвигами на множество сдвиговых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террейнов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(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тектоно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-стратиграфических единиц), которые перемешались друг с другом, нарушив первичную геодинамическую, тектоническую и палеогеографическую зональности [11-13].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Субдукция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и последующая коллизия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микроконтинентов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и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террейнов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с Казахстанско-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Тувино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-Монгольской островной дугой, привела к широкому проявлению коллизионного метаморфизма и </w:t>
      </w:r>
      <w:proofErr w:type="spell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магматизма</w:t>
      </w:r>
      <w:proofErr w:type="spell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, и, в целом, к консолидации земной коры и формированию фундамента составного континента как показано на рисунке Г.1 [21, 26, 27].</w:t>
      </w:r>
    </w:p>
    <w:p w:rsidR="005E1224" w:rsidRPr="00D013B6" w:rsidRDefault="005E1224" w:rsidP="005E122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NewRomanPS-BoldMT" w:hAnsi="Times New Roman"/>
          <w:b/>
          <w:bCs/>
          <w:sz w:val="28"/>
          <w:szCs w:val="28"/>
          <w:lang w:eastAsia="en-US"/>
        </w:rPr>
      </w:pPr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lastRenderedPageBreak/>
        <w:t xml:space="preserve">В современных структурах Казахстанско-Байкальский составной континент представлен в восточной части Урала, западной части фундамента Западно-Сибирской плиты, на Тянь-Шане, Казахстане, в южной части </w:t>
      </w:r>
      <w:proofErr w:type="gramStart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>Алтае-Саянской</w:t>
      </w:r>
      <w:proofErr w:type="gramEnd"/>
      <w:r w:rsidRPr="00D013B6">
        <w:rPr>
          <w:rFonts w:ascii="Times New Roman" w:eastAsia="TimesNewRomanPSMT" w:hAnsi="Times New Roman"/>
          <w:sz w:val="28"/>
          <w:szCs w:val="28"/>
          <w:lang w:eastAsia="en-US"/>
        </w:rPr>
        <w:t xml:space="preserve"> области, в Туве, Прибайкалье и Забайкалье, Монголии и северной части Китая [19-20].</w:t>
      </w:r>
    </w:p>
    <w:p w:rsidR="005E1224" w:rsidRPr="00D013B6" w:rsidRDefault="005E1224" w:rsidP="005E122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013B6">
        <w:rPr>
          <w:rFonts w:ascii="Times New Roman" w:hAnsi="Times New Roman"/>
          <w:sz w:val="28"/>
          <w:szCs w:val="28"/>
        </w:rPr>
        <w:t xml:space="preserve">Рассматриваемый в данном проекте полигон (Рудно-Алтайская, </w:t>
      </w:r>
      <w:proofErr w:type="spellStart"/>
      <w:r w:rsidRPr="00D013B6">
        <w:rPr>
          <w:rFonts w:ascii="Times New Roman" w:hAnsi="Times New Roman"/>
          <w:sz w:val="28"/>
          <w:szCs w:val="28"/>
        </w:rPr>
        <w:t>Секисовское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месторождение и Западно-</w:t>
      </w:r>
      <w:proofErr w:type="spellStart"/>
      <w:r w:rsidRPr="00D013B6">
        <w:rPr>
          <w:rFonts w:ascii="Times New Roman" w:hAnsi="Times New Roman"/>
          <w:sz w:val="28"/>
          <w:szCs w:val="28"/>
        </w:rPr>
        <w:t>Калбинская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, месторождение </w:t>
      </w:r>
      <w:proofErr w:type="spellStart"/>
      <w:r w:rsidRPr="00D013B6">
        <w:rPr>
          <w:rFonts w:ascii="Times New Roman" w:hAnsi="Times New Roman"/>
          <w:sz w:val="28"/>
          <w:szCs w:val="28"/>
        </w:rPr>
        <w:t>Бакырчик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металлогенические зоны) относится к северо-западному сектору Центрально-Азиатского подвижного пояса, тектоническое строение и эволюция которого была охарактеризована в [7, 28, 32]. Западная часть сектора включает часть </w:t>
      </w:r>
      <w:proofErr w:type="gramStart"/>
      <w:r w:rsidRPr="00D013B6">
        <w:rPr>
          <w:rFonts w:ascii="Times New Roman" w:hAnsi="Times New Roman"/>
          <w:sz w:val="28"/>
          <w:szCs w:val="28"/>
        </w:rPr>
        <w:t>Алтае-Саянской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и Обь-</w:t>
      </w:r>
      <w:proofErr w:type="spellStart"/>
      <w:r w:rsidRPr="00D013B6">
        <w:rPr>
          <w:rFonts w:ascii="Times New Roman" w:hAnsi="Times New Roman"/>
          <w:sz w:val="28"/>
          <w:szCs w:val="28"/>
        </w:rPr>
        <w:t>Зайсанскую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складчатые области, которые в позднем палеозое – раннем мезозое развивались как единая геологическая мегаструктура – Алтайская аккреционно-коллизионная система [25, 31, 33].</w:t>
      </w:r>
    </w:p>
    <w:p w:rsidR="005E1224" w:rsidRPr="00D013B6" w:rsidRDefault="005E1224" w:rsidP="005E1224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D013B6">
        <w:rPr>
          <w:rFonts w:ascii="Times New Roman" w:hAnsi="Times New Roman"/>
          <w:sz w:val="28"/>
          <w:szCs w:val="28"/>
        </w:rPr>
        <w:t xml:space="preserve">Месторождение Васильковское сформировалось в пределах </w:t>
      </w:r>
      <w:proofErr w:type="spellStart"/>
      <w:r w:rsidRPr="00D013B6">
        <w:rPr>
          <w:rFonts w:ascii="Times New Roman" w:hAnsi="Times New Roman"/>
          <w:sz w:val="28"/>
          <w:szCs w:val="28"/>
        </w:rPr>
        <w:t>Кокшектауского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013B6">
        <w:rPr>
          <w:rFonts w:ascii="Times New Roman" w:hAnsi="Times New Roman"/>
          <w:sz w:val="28"/>
          <w:szCs w:val="28"/>
        </w:rPr>
        <w:t>террейна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, располагающегося в структурах </w:t>
      </w:r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нижнепалеозойского коллажа Центрального Казахстана западнее и северо-западнее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Торгайско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-Срединно-Тянь-Шаньского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микроконтинента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. Территория входит в состав Кокшетау-Северо-Тянь-Шаньский раннепалеозойского орогенического пояса, состоящего из ряда шовных зон с фрагментами коллизионных и трансформных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сутур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. Большинство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террейнов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 представляет собой обломки древнего континента (скорее всего,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Родинии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).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Террейны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 отличаются друг от друга фациями </w:t>
      </w:r>
      <w:proofErr w:type="spellStart"/>
      <w:r w:rsidRPr="00D013B6">
        <w:rPr>
          <w:rFonts w:ascii="Times New Roman" w:eastAsia="Calibri" w:hAnsi="Times New Roman"/>
          <w:sz w:val="28"/>
          <w:szCs w:val="28"/>
          <w:lang w:eastAsia="en-US"/>
        </w:rPr>
        <w:t>рифейско</w:t>
      </w:r>
      <w:proofErr w:type="spellEnd"/>
      <w:r w:rsidRPr="00D013B6">
        <w:rPr>
          <w:rFonts w:ascii="Times New Roman" w:eastAsia="Calibri" w:hAnsi="Times New Roman"/>
          <w:sz w:val="28"/>
          <w:szCs w:val="28"/>
          <w:lang w:eastAsia="en-US"/>
        </w:rPr>
        <w:t xml:space="preserve">-нижнепалеозойского чехла. </w:t>
      </w:r>
    </w:p>
    <w:p w:rsidR="005E1224" w:rsidRPr="00D013B6" w:rsidRDefault="005E1224" w:rsidP="005E122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013B6">
        <w:rPr>
          <w:rFonts w:ascii="Times New Roman" w:hAnsi="Times New Roman"/>
          <w:sz w:val="28"/>
          <w:szCs w:val="28"/>
        </w:rPr>
        <w:t xml:space="preserve">В последние десятилетия существенный прогресс был достигнут в классификации, определении и понимании разных типов золоторудных месторождений, каждый из которых имеет ряд особых специфических для данного типа характеристик и тектонических обстановок формирования. Данные исследования по металлогении золота коллизионных золоторудных месторождений Казахстана направлены на определение связи между структурой, тектонической эволюцией и </w:t>
      </w:r>
      <w:proofErr w:type="spellStart"/>
      <w:r w:rsidRPr="00D013B6">
        <w:rPr>
          <w:rFonts w:ascii="Times New Roman" w:hAnsi="Times New Roman"/>
          <w:sz w:val="28"/>
          <w:szCs w:val="28"/>
        </w:rPr>
        <w:t>магматизмом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региона и формированием крупных месторождений золота [1, 31-34]. </w:t>
      </w:r>
    </w:p>
    <w:p w:rsidR="005E1224" w:rsidRPr="0031472A" w:rsidRDefault="005E1224" w:rsidP="005E1224">
      <w:pPr>
        <w:widowControl w:val="0"/>
        <w:shd w:val="clear" w:color="auto" w:fill="FFFFFF"/>
        <w:tabs>
          <w:tab w:val="left" w:pos="435"/>
        </w:tabs>
        <w:spacing w:after="0" w:line="240" w:lineRule="auto"/>
        <w:ind w:firstLine="709"/>
        <w:jc w:val="both"/>
        <w:rPr>
          <w:rFonts w:eastAsia="Calibri"/>
          <w:lang w:eastAsia="en-US"/>
        </w:rPr>
      </w:pPr>
      <w:r w:rsidRPr="00D013B6"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На территории Казахстана многими авторами четко выделяется несколько </w:t>
      </w:r>
      <w:r w:rsidRPr="00D013B6">
        <w:rPr>
          <w:rFonts w:ascii="Times New Roman" w:hAnsi="Times New Roman"/>
          <w:sz w:val="28"/>
          <w:szCs w:val="28"/>
        </w:rPr>
        <w:t>металлогенических эпох, ведущим элементом которых является золото: R</w:t>
      </w:r>
      <w:r w:rsidRPr="00D013B6">
        <w:rPr>
          <w:rFonts w:ascii="Times New Roman" w:hAnsi="Times New Roman"/>
          <w:sz w:val="28"/>
          <w:szCs w:val="28"/>
          <w:vertAlign w:val="subscript"/>
        </w:rPr>
        <w:t>3</w:t>
      </w:r>
      <w:r w:rsidRPr="00D013B6">
        <w:rPr>
          <w:rFonts w:ascii="Times New Roman" w:hAnsi="Times New Roman"/>
          <w:sz w:val="28"/>
          <w:szCs w:val="28"/>
        </w:rPr>
        <w:t xml:space="preserve">-V, € </w:t>
      </w:r>
      <w:r w:rsidRPr="00D013B6">
        <w:rPr>
          <w:rFonts w:ascii="Times New Roman" w:hAnsi="Times New Roman"/>
          <w:sz w:val="28"/>
          <w:szCs w:val="28"/>
          <w:vertAlign w:val="subscript"/>
        </w:rPr>
        <w:t>1-2</w:t>
      </w:r>
      <w:r w:rsidRPr="00D013B6">
        <w:rPr>
          <w:rFonts w:ascii="Times New Roman" w:hAnsi="Times New Roman"/>
          <w:sz w:val="28"/>
          <w:szCs w:val="28"/>
        </w:rPr>
        <w:t xml:space="preserve">, O </w:t>
      </w:r>
      <w:r w:rsidRPr="00D013B6">
        <w:rPr>
          <w:rFonts w:ascii="Times New Roman" w:hAnsi="Times New Roman"/>
          <w:sz w:val="28"/>
          <w:szCs w:val="28"/>
          <w:vertAlign w:val="subscript"/>
        </w:rPr>
        <w:t>1-2</w:t>
      </w:r>
      <w:r w:rsidRPr="00D013B6">
        <w:rPr>
          <w:rFonts w:ascii="Times New Roman" w:hAnsi="Times New Roman"/>
          <w:sz w:val="28"/>
          <w:szCs w:val="28"/>
        </w:rPr>
        <w:t>, 0</w:t>
      </w:r>
      <w:r w:rsidRPr="00D013B6">
        <w:rPr>
          <w:rFonts w:ascii="Times New Roman" w:hAnsi="Times New Roman"/>
          <w:sz w:val="28"/>
          <w:szCs w:val="28"/>
          <w:vertAlign w:val="subscript"/>
        </w:rPr>
        <w:t>3</w:t>
      </w:r>
      <w:r w:rsidRPr="00D013B6">
        <w:rPr>
          <w:rFonts w:ascii="Times New Roman" w:hAnsi="Times New Roman"/>
          <w:sz w:val="28"/>
          <w:szCs w:val="28"/>
        </w:rPr>
        <w:t>-S</w:t>
      </w:r>
      <w:r w:rsidRPr="00D013B6">
        <w:rPr>
          <w:rFonts w:ascii="Times New Roman" w:hAnsi="Times New Roman"/>
          <w:sz w:val="28"/>
          <w:szCs w:val="28"/>
          <w:vertAlign w:val="subscript"/>
        </w:rPr>
        <w:t>1</w:t>
      </w:r>
      <w:r w:rsidRPr="00D013B6">
        <w:rPr>
          <w:rFonts w:ascii="Times New Roman" w:hAnsi="Times New Roman"/>
          <w:sz w:val="28"/>
          <w:szCs w:val="28"/>
        </w:rPr>
        <w:t xml:space="preserve"> D </w:t>
      </w:r>
      <w:r w:rsidRPr="00D013B6">
        <w:rPr>
          <w:rFonts w:ascii="Times New Roman" w:hAnsi="Times New Roman"/>
          <w:sz w:val="28"/>
          <w:szCs w:val="28"/>
          <w:vertAlign w:val="subscript"/>
        </w:rPr>
        <w:t>1-2</w:t>
      </w:r>
      <w:r w:rsidRPr="00D013B6">
        <w:rPr>
          <w:rFonts w:ascii="Times New Roman" w:hAnsi="Times New Roman"/>
          <w:sz w:val="28"/>
          <w:szCs w:val="28"/>
        </w:rPr>
        <w:t xml:space="preserve">, D </w:t>
      </w:r>
      <w:r w:rsidRPr="00D013B6">
        <w:rPr>
          <w:rFonts w:ascii="Times New Roman" w:hAnsi="Times New Roman"/>
          <w:sz w:val="28"/>
          <w:szCs w:val="28"/>
          <w:vertAlign w:val="subscript"/>
        </w:rPr>
        <w:t>2-3</w:t>
      </w:r>
      <w:r w:rsidRPr="00D013B6">
        <w:rPr>
          <w:rFonts w:ascii="Times New Roman" w:hAnsi="Times New Roman"/>
          <w:sz w:val="28"/>
          <w:szCs w:val="28"/>
        </w:rPr>
        <w:t>, С</w:t>
      </w:r>
      <w:proofErr w:type="gramStart"/>
      <w:r w:rsidRPr="00D013B6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, C </w:t>
      </w:r>
      <w:r w:rsidRPr="00D013B6">
        <w:rPr>
          <w:rFonts w:ascii="Times New Roman" w:hAnsi="Times New Roman"/>
          <w:sz w:val="28"/>
          <w:szCs w:val="28"/>
          <w:vertAlign w:val="subscript"/>
        </w:rPr>
        <w:t>2-3</w:t>
      </w:r>
      <w:r w:rsidRPr="00D013B6">
        <w:rPr>
          <w:rFonts w:ascii="Times New Roman" w:hAnsi="Times New Roman"/>
          <w:sz w:val="28"/>
          <w:szCs w:val="28"/>
        </w:rPr>
        <w:t>, C</w:t>
      </w:r>
      <w:r w:rsidRPr="00D013B6">
        <w:rPr>
          <w:rFonts w:ascii="Times New Roman" w:hAnsi="Times New Roman"/>
          <w:sz w:val="28"/>
          <w:szCs w:val="28"/>
          <w:vertAlign w:val="subscript"/>
        </w:rPr>
        <w:t>3</w:t>
      </w:r>
      <w:r w:rsidRPr="00D013B6">
        <w:rPr>
          <w:rFonts w:ascii="Times New Roman" w:hAnsi="Times New Roman"/>
          <w:sz w:val="28"/>
          <w:szCs w:val="28"/>
        </w:rPr>
        <w:t>-P</w:t>
      </w:r>
      <w:r w:rsidRPr="00D013B6">
        <w:rPr>
          <w:rFonts w:ascii="Times New Roman" w:hAnsi="Times New Roman"/>
          <w:sz w:val="28"/>
          <w:szCs w:val="28"/>
          <w:vertAlign w:val="subscript"/>
        </w:rPr>
        <w:t>1</w:t>
      </w:r>
      <w:r w:rsidRPr="00D013B6">
        <w:rPr>
          <w:rFonts w:ascii="Times New Roman" w:hAnsi="Times New Roman"/>
          <w:sz w:val="28"/>
          <w:szCs w:val="28"/>
        </w:rPr>
        <w:t>, К</w:t>
      </w:r>
      <w:r w:rsidRPr="00D013B6">
        <w:rPr>
          <w:rFonts w:ascii="Times New Roman" w:hAnsi="Times New Roman"/>
          <w:sz w:val="28"/>
          <w:szCs w:val="28"/>
          <w:vertAlign w:val="subscript"/>
        </w:rPr>
        <w:t>2</w:t>
      </w:r>
      <w:r w:rsidRPr="00D013B6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D013B6">
        <w:rPr>
          <w:rFonts w:ascii="Times New Roman" w:hAnsi="Times New Roman"/>
          <w:sz w:val="28"/>
          <w:szCs w:val="28"/>
          <w:lang w:val="en-US"/>
        </w:rPr>
        <w:t>Pg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-Q. Наиболее </w:t>
      </w:r>
      <w:proofErr w:type="gramStart"/>
      <w:r w:rsidRPr="00D013B6">
        <w:rPr>
          <w:rFonts w:ascii="Times New Roman" w:hAnsi="Times New Roman"/>
          <w:sz w:val="28"/>
          <w:szCs w:val="28"/>
        </w:rPr>
        <w:t>активными</w:t>
      </w:r>
      <w:proofErr w:type="gramEnd"/>
      <w:r w:rsidRPr="00D013B6">
        <w:rPr>
          <w:rFonts w:ascii="Times New Roman" w:hAnsi="Times New Roman"/>
          <w:sz w:val="28"/>
          <w:szCs w:val="28"/>
        </w:rPr>
        <w:t xml:space="preserve"> в свете золоторудной специализации отмечаются три: 0</w:t>
      </w:r>
      <w:r w:rsidRPr="00D013B6">
        <w:rPr>
          <w:rFonts w:ascii="Times New Roman" w:hAnsi="Times New Roman"/>
          <w:sz w:val="28"/>
          <w:szCs w:val="28"/>
          <w:vertAlign w:val="subscript"/>
        </w:rPr>
        <w:t>3</w:t>
      </w:r>
      <w:r w:rsidRPr="00D013B6">
        <w:rPr>
          <w:rFonts w:ascii="Times New Roman" w:hAnsi="Times New Roman"/>
          <w:sz w:val="28"/>
          <w:szCs w:val="28"/>
        </w:rPr>
        <w:t>-S</w:t>
      </w:r>
      <w:r w:rsidRPr="00D013B6">
        <w:rPr>
          <w:rFonts w:ascii="Times New Roman" w:hAnsi="Times New Roman"/>
          <w:sz w:val="28"/>
          <w:szCs w:val="28"/>
          <w:vertAlign w:val="subscript"/>
        </w:rPr>
        <w:t>1</w:t>
      </w:r>
      <w:r w:rsidRPr="00D013B6">
        <w:rPr>
          <w:rFonts w:ascii="Times New Roman" w:hAnsi="Times New Roman"/>
          <w:sz w:val="28"/>
          <w:szCs w:val="28"/>
        </w:rPr>
        <w:t>; D; C</w:t>
      </w:r>
      <w:r w:rsidRPr="00D013B6">
        <w:rPr>
          <w:rFonts w:ascii="Times New Roman" w:hAnsi="Times New Roman"/>
          <w:sz w:val="28"/>
          <w:szCs w:val="28"/>
          <w:vertAlign w:val="subscript"/>
        </w:rPr>
        <w:t>3</w:t>
      </w:r>
      <w:r w:rsidRPr="00D013B6">
        <w:rPr>
          <w:rFonts w:ascii="Times New Roman" w:hAnsi="Times New Roman"/>
          <w:sz w:val="28"/>
          <w:szCs w:val="28"/>
        </w:rPr>
        <w:t xml:space="preserve">-P, характеризующиеся активным </w:t>
      </w:r>
      <w:proofErr w:type="spellStart"/>
      <w:r w:rsidRPr="00D013B6">
        <w:rPr>
          <w:rFonts w:ascii="Times New Roman" w:hAnsi="Times New Roman"/>
          <w:sz w:val="28"/>
          <w:szCs w:val="28"/>
        </w:rPr>
        <w:t>тектогенезом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, проявлением </w:t>
      </w:r>
      <w:proofErr w:type="spellStart"/>
      <w:r w:rsidRPr="00D013B6">
        <w:rPr>
          <w:rFonts w:ascii="Times New Roman" w:hAnsi="Times New Roman"/>
          <w:sz w:val="28"/>
          <w:szCs w:val="28"/>
        </w:rPr>
        <w:t>магматизма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и разнообразного метаморфизма. Все три изучаемых объекта представляют собой коллизионные мезотермальные рудно-магматические системы длительного формирования до (40-60 млн. лет) со сложным многофазовым </w:t>
      </w:r>
      <w:proofErr w:type="spellStart"/>
      <w:r w:rsidRPr="00D013B6">
        <w:rPr>
          <w:rFonts w:ascii="Times New Roman" w:hAnsi="Times New Roman"/>
          <w:sz w:val="28"/>
          <w:szCs w:val="28"/>
        </w:rPr>
        <w:t>магматизмом</w:t>
      </w:r>
      <w:proofErr w:type="spellEnd"/>
      <w:r w:rsidRPr="00D013B6">
        <w:rPr>
          <w:rFonts w:ascii="Times New Roman" w:hAnsi="Times New Roman"/>
          <w:sz w:val="28"/>
          <w:szCs w:val="28"/>
        </w:rPr>
        <w:t xml:space="preserve"> и метаморфизмом</w:t>
      </w:r>
    </w:p>
    <w:p w:rsidR="00937B46" w:rsidRDefault="00937B46">
      <w:bookmarkStart w:id="0" w:name="_GoBack"/>
      <w:bookmarkEnd w:id="0"/>
    </w:p>
    <w:sectPr w:rsidR="00937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2FD"/>
    <w:rsid w:val="005E1224"/>
    <w:rsid w:val="00937B46"/>
    <w:rsid w:val="00CD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2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2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806</Words>
  <Characters>4599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2020-09-05T02:44:00Z</dcterms:created>
  <dcterms:modified xsi:type="dcterms:W3CDTF">2020-09-05T02:45:00Z</dcterms:modified>
</cp:coreProperties>
</file>